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74" w:rsidRPr="00467974" w:rsidRDefault="00467974" w:rsidP="00467974">
      <w:pPr>
        <w:suppressAutoHyphens/>
        <w:spacing w:after="120" w:line="240" w:lineRule="auto"/>
        <w:rPr>
          <w:rFonts w:ascii="Arial" w:eastAsia="Times New Roman" w:hAnsi="Arial" w:cs="Arial"/>
          <w:b/>
          <w:bCs/>
          <w:kern w:val="22"/>
          <w:szCs w:val="56"/>
          <w:lang w:eastAsia="zh-CN"/>
        </w:rPr>
      </w:pPr>
      <w:bookmarkStart w:id="0" w:name="_Toc423510604"/>
      <w:bookmarkStart w:id="1" w:name="_Toc423599693"/>
      <w:bookmarkStart w:id="2" w:name="_Toc430178049"/>
      <w:bookmarkStart w:id="3" w:name="_Toc435429661"/>
      <w:r w:rsidRPr="00467974">
        <w:rPr>
          <w:rFonts w:ascii="Arial" w:eastAsia="Times New Roman" w:hAnsi="Arial" w:cs="Arial"/>
          <w:b/>
          <w:bCs/>
          <w:kern w:val="22"/>
          <w:szCs w:val="56"/>
          <w:lang w:eastAsia="zh-CN"/>
        </w:rPr>
        <w:t>Příloha č. 3</w:t>
      </w:r>
      <w:bookmarkEnd w:id="0"/>
      <w:bookmarkEnd w:id="1"/>
      <w:bookmarkEnd w:id="2"/>
      <w:bookmarkEnd w:id="3"/>
    </w:p>
    <w:p w:rsidR="00467974" w:rsidRPr="00467974" w:rsidRDefault="00467974" w:rsidP="00467974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zh-CN"/>
        </w:rPr>
      </w:pPr>
      <w:r w:rsidRPr="00467974">
        <w:rPr>
          <w:rFonts w:ascii="Arial" w:eastAsia="Times New Roman" w:hAnsi="Arial" w:cs="Arial"/>
          <w:b/>
          <w:szCs w:val="24"/>
          <w:lang w:eastAsia="zh-CN"/>
        </w:rPr>
        <w:t>Zásobník projektů</w:t>
      </w:r>
    </w:p>
    <w:tbl>
      <w:tblPr>
        <w:tblW w:w="9357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568"/>
        <w:gridCol w:w="1276"/>
        <w:gridCol w:w="1134"/>
        <w:gridCol w:w="1701"/>
        <w:gridCol w:w="1118"/>
        <w:gridCol w:w="18"/>
        <w:gridCol w:w="1542"/>
      </w:tblGrid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Název aktivity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Důležitost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Termíny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Odpovědnost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Náklady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Zdroje financování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Rozšíření sítě zemního plynu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6,0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Obec</w:t>
            </w: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</w:t>
            </w: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Zajištění dodávek plynu prodloužením STL rozvodu od regulační stanice v ul. V Zámku na Jezera do prostoru ul. Jezerská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Výstavba skupinových garáží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Komentář:</w:t>
            </w:r>
            <w:r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další lokality pro výstavbu vyplývají z ÚP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Zbudování nové točny autobusů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Komentář: Součást výstavby 18 RD v prostoru Axmanovy hájenky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Výstavba zařízení pro seniory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Komentář: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Rozšíření kapacity MŠ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  <w:bookmarkStart w:id="4" w:name="_GoBack"/>
            <w:bookmarkEnd w:id="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rPr>
          <w:trHeight w:val="70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lastRenderedPageBreak/>
              <w:t xml:space="preserve">Komentář: V návaznosti na plánovanou výstavbu na </w:t>
            </w:r>
            <w:proofErr w:type="spellStart"/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Jezerách</w:t>
            </w:r>
            <w:proofErr w:type="spellEnd"/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 řešit výstavbu nové MŠ v této části obce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Realizace KPÚ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Plán společných zařízení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Výstavba víceúčelového hřiště s umělým povrchem u ZŠ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Výstavba sportoviště s umělým povrchem pro veřejnost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szCs w:val="20"/>
                <w:lang w:eastAsia="zh-CN"/>
              </w:rPr>
              <w:t>Budování cyklostezek v rámci Mikroregionu Roketnice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Sportovní areál a park u školy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Vybudování turistické ubytovny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>Komentář: v budově č. p. 5</w:t>
            </w:r>
          </w:p>
        </w:tc>
      </w:tr>
      <w:tr w:rsidR="00467974" w:rsidRPr="00467974" w:rsidTr="00D40C5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b/>
                <w:i/>
                <w:szCs w:val="20"/>
                <w:lang w:eastAsia="zh-CN"/>
              </w:rPr>
              <w:t>Vybudování koupaliště nebo krytého bazénu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</w:p>
        </w:tc>
      </w:tr>
      <w:tr w:rsidR="00467974" w:rsidRPr="00467974" w:rsidTr="00D40C5D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974" w:rsidRPr="00467974" w:rsidRDefault="00467974" w:rsidP="00467974">
            <w:pPr>
              <w:keepNext/>
              <w:suppressAutoHyphens/>
              <w:spacing w:before="40" w:after="40" w:line="240" w:lineRule="auto"/>
              <w:jc w:val="both"/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467974">
              <w:rPr>
                <w:rFonts w:ascii="Arial" w:eastAsia="Times New Roman" w:hAnsi="Arial" w:cs="Arial"/>
                <w:szCs w:val="20"/>
                <w:lang w:eastAsia="zh-CN"/>
              </w:rPr>
              <w:t xml:space="preserve">Komentář:  </w:t>
            </w:r>
          </w:p>
        </w:tc>
      </w:tr>
    </w:tbl>
    <w:p w:rsidR="00825400" w:rsidRDefault="00825400"/>
    <w:sectPr w:rsidR="0082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74"/>
    <w:rsid w:val="00467974"/>
    <w:rsid w:val="008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2016-10-14T10:25:00Z</dcterms:created>
  <dcterms:modified xsi:type="dcterms:W3CDTF">2016-10-14T10:26:00Z</dcterms:modified>
</cp:coreProperties>
</file>